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971" w:rsidRPr="00AD748C" w:rsidRDefault="00291971" w:rsidP="00291971">
      <w:pPr>
        <w:spacing w:before="100" w:beforeAutospacing="1" w:after="100" w:afterAutospacing="1" w:line="360" w:lineRule="auto"/>
        <w:ind w:left="31680" w:firstLine="31680"/>
        <w:jc w:val="center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>CURSO DE INICIACIÓN PROFESIONAL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center"/>
        <w:rPr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>PROGRAMA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center"/>
        <w:rPr>
          <w:sz w:val="22"/>
          <w:szCs w:val="22"/>
          <w:u w:val="single"/>
        </w:rPr>
      </w:pPr>
    </w:p>
    <w:p w:rsidR="00291971" w:rsidRPr="00AD748C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rPr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A.- INTRODUCCIÓN AL EJERCICIO PROFESIONAL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CLASE 1: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</w:t>
      </w:r>
      <w:r w:rsidRPr="00343B45">
        <w:rPr>
          <w:b/>
          <w:color w:val="000000"/>
          <w:sz w:val="22"/>
          <w:szCs w:val="22"/>
        </w:rPr>
        <w:t>13/06/2019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 xml:space="preserve"> 1. Colegiación: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  <w:u w:val="single"/>
        </w:rPr>
        <w:t>Marco regulatorio: Ley 5177 y Decreto Reglamentario.</w:t>
      </w:r>
      <w:r w:rsidRPr="00343B45">
        <w:rPr>
          <w:rFonts w:ascii="Times New Roman" w:hAnsi="Times New Roman" w:cs="Times New Roman"/>
          <w:color w:val="000000"/>
        </w:rPr>
        <w:t xml:space="preserve"> Las nuevas formas de ejercicio profesional. El/la novel abogado/a y su inserción en la colegiación.  Los/as abogados/as y la matrícula. Las incompatibilidades, la inscripción y el mantenimiento de la matrícula. Deberes y facultades del abogado/a. Cuota Anual (matrícula), su mora. La libertad de ejercicio.  Las incumbencias profesionales. El secreto profesional. El derecho al honorario. Prohibiciones. Infracciones al ejercicio profesional legal.</w:t>
      </w:r>
    </w:p>
    <w:p w:rsidR="00291971" w:rsidRPr="00AD748C" w:rsidRDefault="00291971" w:rsidP="00AD748C">
      <w:pPr>
        <w:pStyle w:val="ListParagraph"/>
        <w:keepNext/>
        <w:keepLines/>
        <w:numPr>
          <w:ilvl w:val="0"/>
          <w:numId w:val="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  <w:u w:val="single"/>
        </w:rPr>
        <w:t>Órganos de Colegiación.</w:t>
      </w:r>
      <w:r w:rsidRPr="00343B45">
        <w:rPr>
          <w:rFonts w:ascii="Times New Roman" w:hAnsi="Times New Roman" w:cs="Times New Roman"/>
          <w:color w:val="000000"/>
        </w:rPr>
        <w:t xml:space="preserve"> Funciones, atribuciones, deberes y organización. Autoridades del Colegio Departamental. Órganos directivos. Las asambleas, facultades, convocatoria y funcionamiento. El Consejo Directivo, composición, funciones, resoluciones y su representación. El Tribunal de disciplina, sus funciones y organización. El procedimiento disciplinario, alcances y recursos. Los Institutos y comisiones.   El Colegio de Abogados de la Provincia de Buenos Aires (COLPROBA), su integración y funciones. La Federación Argentina de Colegios de Abogados (FACA), la Federación Interamericana de Abogados </w:t>
      </w:r>
      <w:r w:rsidRPr="00AD748C">
        <w:rPr>
          <w:rFonts w:ascii="Times New Roman" w:hAnsi="Times New Roman" w:cs="Times New Roman"/>
          <w:color w:val="000000"/>
        </w:rPr>
        <w:t>(FIA) y la Unión Internacional de Abogados (UIA).</w:t>
      </w:r>
    </w:p>
    <w:p w:rsidR="00291971" w:rsidRPr="00AD748C" w:rsidRDefault="00291971" w:rsidP="00AD748C">
      <w:pPr>
        <w:pStyle w:val="ListParagraph"/>
        <w:numPr>
          <w:ilvl w:val="0"/>
          <w:numId w:val="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AD748C">
        <w:rPr>
          <w:rFonts w:ascii="Times New Roman" w:hAnsi="Times New Roman" w:cs="Times New Roman"/>
          <w:u w:val="single"/>
        </w:rPr>
        <w:t>Normas de ética profesional</w:t>
      </w:r>
      <w:r w:rsidRPr="00AD748C">
        <w:rPr>
          <w:rFonts w:ascii="Times New Roman" w:hAnsi="Times New Roman" w:cs="Times New Roman"/>
        </w:rPr>
        <w:t xml:space="preserve">. Sustitución de patrocinio. Los/as abogados/as y la publicidad de sus servicios: Formas de anunciarse admitidas por las Normas de Ética para Abogados/as de la Provincia. Publicidad indebida. Publicidad admitida. Nuevas formas de publicidad: utilización de redes sociales. Doctrina de los Tribunales de Disciplina. Trámite ante el Tribunal.  Incumbencias. </w:t>
      </w:r>
    </w:p>
    <w:p w:rsidR="00291971" w:rsidRDefault="00291971" w:rsidP="00AD748C">
      <w:pPr>
        <w:pStyle w:val="ListParagraph"/>
        <w:spacing w:before="100" w:beforeAutospacing="1" w:after="100" w:afterAutospacing="1" w:line="360" w:lineRule="auto"/>
        <w:ind w:leftChars="0" w:left="0" w:firstLineChars="0" w:firstLine="0"/>
        <w:jc w:val="both"/>
        <w:rPr>
          <w:rFonts w:ascii="Times New Roman" w:hAnsi="Times New Roman" w:cs="Times New Roman"/>
          <w:color w:val="000000"/>
        </w:rPr>
      </w:pPr>
    </w:p>
    <w:p w:rsidR="00291971" w:rsidRDefault="00291971" w:rsidP="00AD748C">
      <w:pPr>
        <w:pStyle w:val="ListParagraph"/>
        <w:spacing w:before="100" w:beforeAutospacing="1" w:after="100" w:afterAutospacing="1" w:line="360" w:lineRule="auto"/>
        <w:ind w:leftChars="0" w:left="0" w:firstLineChars="0" w:firstLine="0"/>
        <w:jc w:val="both"/>
        <w:rPr>
          <w:rFonts w:ascii="Times New Roman" w:hAnsi="Times New Roman" w:cs="Times New Roman"/>
          <w:color w:val="000000"/>
        </w:rPr>
      </w:pPr>
    </w:p>
    <w:p w:rsidR="00291971" w:rsidRDefault="00291971" w:rsidP="00AD748C">
      <w:pPr>
        <w:pStyle w:val="ListParagraph"/>
        <w:spacing w:before="100" w:beforeAutospacing="1" w:after="100" w:afterAutospacing="1" w:line="360" w:lineRule="auto"/>
        <w:ind w:leftChars="0" w:left="0" w:firstLineChars="0" w:firstLine="0"/>
        <w:jc w:val="both"/>
        <w:rPr>
          <w:rFonts w:ascii="Times New Roman" w:hAnsi="Times New Roman" w:cs="Times New Roman"/>
          <w:color w:val="000000"/>
        </w:rPr>
      </w:pPr>
    </w:p>
    <w:p w:rsidR="00291971" w:rsidRDefault="00291971" w:rsidP="00AD748C">
      <w:pPr>
        <w:pStyle w:val="ListParagraph"/>
        <w:spacing w:before="100" w:beforeAutospacing="1" w:after="100" w:afterAutospacing="1" w:line="360" w:lineRule="auto"/>
        <w:ind w:leftChars="0" w:left="0" w:firstLineChars="0" w:firstLine="0"/>
        <w:jc w:val="both"/>
        <w:rPr>
          <w:rFonts w:ascii="Times New Roman" w:hAnsi="Times New Roman" w:cs="Times New Roman"/>
          <w:color w:val="000000"/>
        </w:rPr>
      </w:pPr>
    </w:p>
    <w:p w:rsidR="00291971" w:rsidRPr="00AD748C" w:rsidRDefault="00291971" w:rsidP="00AD748C">
      <w:pPr>
        <w:pStyle w:val="ListParagraph"/>
        <w:spacing w:before="100" w:beforeAutospacing="1" w:after="100" w:afterAutospacing="1" w:line="360" w:lineRule="auto"/>
        <w:ind w:leftChars="0" w:left="0" w:firstLineChars="0" w:firstLine="0"/>
        <w:jc w:val="both"/>
        <w:rPr>
          <w:rFonts w:ascii="Times New Roman" w:hAnsi="Times New Roman" w:cs="Times New Roman"/>
          <w:color w:val="000000"/>
        </w:rPr>
      </w:pPr>
      <w:r w:rsidRPr="00AD748C">
        <w:rPr>
          <w:rFonts w:ascii="Times New Roman" w:hAnsi="Times New Roman" w:cs="Times New Roman"/>
          <w:b/>
        </w:rPr>
        <w:t>2.- Caja Seguridad Social para Abogados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4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Marco Regulatorio: Ley 6716 y sus Modificatorias. Estatuto de la Caja.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4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Sistema de aportes: Estamento de referencia. Sistema de Franquicias. Aporte ante regulación de honorarios. Servicios en Línea. 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4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Cálculo de aportes. Generación del Jus previsional, diferenciar con Jus arancelario.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4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Beneficios y préstamos.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4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Sistema de Seguridad Social.</w:t>
      </w:r>
    </w:p>
    <w:p w:rsidR="00291971" w:rsidRPr="00343B45" w:rsidRDefault="00291971" w:rsidP="00AD748C">
      <w:pPr>
        <w:pStyle w:val="ListParagraph"/>
        <w:numPr>
          <w:ilvl w:val="0"/>
          <w:numId w:val="4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Deberes impositivos de los abogados: AFIP- ARBA (II-BB-. Monotributo)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hanging="2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Disertantes: Gastón Argeri, Noelia Domenighini, Fernanda Alegre Hernando y Gabriela Marti.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</w:rPr>
      </w:pP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Chars="0" w:left="0" w:firstLineChars="0" w:firstLine="0"/>
        <w:jc w:val="both"/>
        <w:rPr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B.- PRÁCTICA DEL EJERCICIO PROFESIONAL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CLASE 2:</w:t>
      </w:r>
    </w:p>
    <w:p w:rsidR="00291971" w:rsidRPr="00AD748C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</w:t>
      </w:r>
      <w:r w:rsidRPr="00343B45">
        <w:rPr>
          <w:b/>
          <w:color w:val="000000"/>
          <w:sz w:val="22"/>
          <w:szCs w:val="22"/>
        </w:rPr>
        <w:t>27/06/2019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1.- Procuración:</w:t>
      </w:r>
    </w:p>
    <w:p w:rsidR="00291971" w:rsidRPr="00343B45" w:rsidRDefault="00291971" w:rsidP="00AD748C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Funcionamiento de los Organismos Judiciales: Autoridades, Mesa de entradas, Libro de notas, Uso de la MEV.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Ubicación de los Organismos Judiciales y de los organismos públicos.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Expediente Judicial: formación (carátula, foliatura, reserva, préstamo, búsqueda, reconstrucción, saque de paralizado, archivado, desglose y  confronte, cargo, copia certificada, autorizaciones).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Generación de Bonos Profesionales (azul y verde).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Tasa de Justicia.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Gestoría. Invoca 48, ratifica gestión. </w:t>
      </w:r>
    </w:p>
    <w:p w:rsidR="00291971" w:rsidRPr="00343B45" w:rsidRDefault="00291971" w:rsidP="00AD748C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Planilla de receptoría: documentación necesaria, copias para traslado, armado del sobre, sorteo, radicación.</w:t>
      </w:r>
    </w:p>
    <w:p w:rsidR="00291971" w:rsidRPr="00343B45" w:rsidRDefault="00291971" w:rsidP="00AD748C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Notificaciones: Carta documento. Oficio. Mandamientos. Domicilio real, constituido, electrónico. Diligenciamiento. Nulidades. </w:t>
      </w:r>
    </w:p>
    <w:p w:rsidR="00291971" w:rsidRPr="00343B45" w:rsidRDefault="00291971" w:rsidP="00AD748C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Beneficio Litigar sin gastos 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2.- Notificaciones y Presentaciones Electrónicas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Acordadas de la Corte.</w:t>
      </w:r>
    </w:p>
    <w:p w:rsidR="00291971" w:rsidRPr="00343B45" w:rsidRDefault="00291971" w:rsidP="00AD748C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Presentación y utilización del portal de presentaciones y notificaciones electrónicas de la SCBA.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Notificaciones electrónicas.</w:t>
      </w:r>
    </w:p>
    <w:p w:rsidR="00291971" w:rsidRDefault="00291971" w:rsidP="00AD748C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Presentaciones electrónicas.</w:t>
      </w:r>
    </w:p>
    <w:p w:rsidR="00291971" w:rsidRPr="00343B45" w:rsidRDefault="00291971" w:rsidP="00AD748C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Oficios al Registro Propiedad Inmuble.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Disertantes: Andrea Secchi y Magdalena Mahourat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>DERECHO DE LAS FAMILIAS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3: </w:t>
      </w:r>
    </w:p>
    <w:p w:rsidR="00291971" w:rsidRPr="00AD748C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</w:t>
      </w:r>
      <w:r w:rsidRPr="00343B45">
        <w:rPr>
          <w:b/>
          <w:color w:val="000000"/>
          <w:sz w:val="22"/>
          <w:szCs w:val="22"/>
        </w:rPr>
        <w:t>4/07/2019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</w:rPr>
        <w:t>Procesos de Familia</w:t>
      </w:r>
      <w:r w:rsidRPr="00343B45">
        <w:rPr>
          <w:color w:val="000000"/>
          <w:sz w:val="22"/>
          <w:szCs w:val="22"/>
        </w:rPr>
        <w:t>: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Régimen legal del Matrimonio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Uniones convivenciales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Divorcio.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Alimentos.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243F61"/>
        </w:rPr>
      </w:pPr>
      <w:r w:rsidRPr="00343B45">
        <w:rPr>
          <w:rFonts w:ascii="Times New Roman" w:hAnsi="Times New Roman" w:cs="Times New Roman"/>
          <w:color w:val="000000"/>
        </w:rPr>
        <w:t>Responsabilidad Parental.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Adopción.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Filiación.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  <w:lang w:val="it-IT"/>
        </w:rPr>
      </w:pPr>
      <w:r w:rsidRPr="00343B45">
        <w:rPr>
          <w:sz w:val="22"/>
          <w:szCs w:val="22"/>
          <w:lang w:val="it-IT"/>
        </w:rPr>
        <w:t>Disertantes: Laura Sarti y Mariela Grill.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4: 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11/07/2019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 xml:space="preserve">1.- Práctica de cada proceso: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243F61"/>
        </w:rPr>
      </w:pPr>
      <w:r w:rsidRPr="00343B45">
        <w:rPr>
          <w:rFonts w:ascii="Times New Roman" w:hAnsi="Times New Roman" w:cs="Times New Roman"/>
          <w:color w:val="000000"/>
        </w:rPr>
        <w:t>Régimen legal del Matrimonio. Uniones convivenciales. Divorcio. Alimentos. Responsabilidad Parental.Adopción. Filiación.</w:t>
      </w:r>
    </w:p>
    <w:p w:rsidR="00291971" w:rsidRPr="00343B45" w:rsidRDefault="00291971" w:rsidP="00AD748C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Demanda. Contestación y reconvención.</w:t>
      </w:r>
    </w:p>
    <w:p w:rsidR="00291971" w:rsidRPr="00343B45" w:rsidRDefault="00291971" w:rsidP="00AD748C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Prueba: Aspectos generales. Carga. Prueba Anticipada.</w:t>
      </w:r>
    </w:p>
    <w:p w:rsidR="00291971" w:rsidRPr="00343B45" w:rsidRDefault="00291971" w:rsidP="00AD748C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Medidas Cautelares.</w:t>
      </w:r>
    </w:p>
    <w:p w:rsidR="00291971" w:rsidRPr="00343B45" w:rsidRDefault="00291971" w:rsidP="00AD748C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Etapa Previa.</w:t>
      </w:r>
    </w:p>
    <w:p w:rsidR="00291971" w:rsidRPr="00343B45" w:rsidRDefault="00291971" w:rsidP="00AD748C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Sentencia. Recursos. Ejecución de Sentencia. Inscripción.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  <w:lang w:val="it-IT"/>
        </w:rPr>
      </w:pPr>
      <w:r w:rsidRPr="00343B45">
        <w:rPr>
          <w:sz w:val="22"/>
          <w:szCs w:val="22"/>
          <w:lang w:val="it-IT"/>
        </w:rPr>
        <w:t>Disertantes: Laura Sarti y Mariela Grill.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color w:val="000000"/>
          <w:sz w:val="22"/>
          <w:szCs w:val="22"/>
          <w:u w:val="single"/>
        </w:rPr>
      </w:pPr>
      <w:bookmarkStart w:id="0" w:name="_gjdgxs" w:colFirst="0" w:colLast="0"/>
      <w:bookmarkEnd w:id="0"/>
      <w:r w:rsidRPr="00343B45">
        <w:rPr>
          <w:b/>
          <w:color w:val="000000"/>
          <w:sz w:val="22"/>
          <w:szCs w:val="22"/>
          <w:u w:val="single"/>
        </w:rPr>
        <w:t xml:space="preserve">CLASE 5: </w:t>
      </w:r>
    </w:p>
    <w:p w:rsidR="00291971" w:rsidRPr="00AD748C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</w:t>
      </w:r>
      <w:r w:rsidRPr="00343B45">
        <w:rPr>
          <w:b/>
          <w:color w:val="000000"/>
          <w:sz w:val="22"/>
          <w:szCs w:val="22"/>
        </w:rPr>
        <w:t>18/07/2019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1.- Violencia de género</w:t>
      </w:r>
      <w:r w:rsidRPr="00343B45">
        <w:rPr>
          <w:color w:val="000000"/>
          <w:sz w:val="22"/>
          <w:szCs w:val="22"/>
        </w:rPr>
        <w:t>: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4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Procesos de violencia de género. Convención  CEDAW, Belém Do Pará y  Ley 26485/27210.</w:t>
      </w:r>
      <w:bookmarkStart w:id="1" w:name="_30j0zll" w:colFirst="0" w:colLast="0"/>
      <w:bookmarkEnd w:id="1"/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2.- Abogado/a del Niño/a</w:t>
      </w:r>
      <w:r w:rsidRPr="00343B45">
        <w:rPr>
          <w:color w:val="000000"/>
          <w:sz w:val="22"/>
          <w:szCs w:val="22"/>
        </w:rPr>
        <w:t xml:space="preserve">: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4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Marco Regulatorio: Convención de los Derechos de las niñas, niños y adolescentes. Ley del Abogado del Niño. Designación. Registro. Función.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Disertantes: Noelia Domenighini, Elena Nazer, Verónica Campane.</w:t>
      </w: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</w:p>
    <w:p w:rsidR="00291971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</w:rPr>
      </w:pPr>
    </w:p>
    <w:p w:rsidR="00291971" w:rsidRPr="00AD748C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6: 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  </w:t>
      </w:r>
      <w:r w:rsidRPr="00343B45">
        <w:rPr>
          <w:b/>
          <w:color w:val="000000"/>
          <w:sz w:val="22"/>
          <w:szCs w:val="22"/>
        </w:rPr>
        <w:t>08/08/2019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Mediación.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3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Mecanismos alternativos de resolución de conflictos.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3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Ley de mediación: Temáticas sujetas a mediación. Formularios. Sorteo. Notificaciones. Acta. Audiencia.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3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Honorarios del Mediador.</w:t>
      </w:r>
    </w:p>
    <w:p w:rsidR="00291971" w:rsidRPr="00343B45" w:rsidRDefault="00291971" w:rsidP="00AD748C">
      <w:pPr>
        <w:pStyle w:val="ListParagraph"/>
        <w:numPr>
          <w:ilvl w:val="0"/>
          <w:numId w:val="13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Taller o simulacro de mediación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Alicia Rosalia Kleiban y Silvana Hanglin.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>DERECHO PROCESAL CIVIL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7: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15/08/2019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 xml:space="preserve">Sucesiones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366091"/>
        </w:rPr>
      </w:pPr>
      <w:r w:rsidRPr="00343B45">
        <w:rPr>
          <w:rFonts w:ascii="Times New Roman" w:hAnsi="Times New Roman" w:cs="Times New Roman"/>
          <w:color w:val="000000"/>
        </w:rPr>
        <w:t>Práctica: Planilla de Receptoría. Edictos. Juicios Universales.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366091"/>
        </w:rPr>
      </w:pPr>
      <w:r w:rsidRPr="00343B45">
        <w:rPr>
          <w:rFonts w:ascii="Times New Roman" w:hAnsi="Times New Roman" w:cs="Times New Roman"/>
          <w:color w:val="000000"/>
        </w:rPr>
        <w:t>Demanda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Sucesiones Ab Intestato: Procedimiento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Sucesiones Testamentarias.</w:t>
      </w:r>
    </w:p>
    <w:p w:rsidR="00291971" w:rsidRPr="00343B45" w:rsidRDefault="00291971" w:rsidP="00AD748C">
      <w:pPr>
        <w:pStyle w:val="ListParagraph"/>
        <w:numPr>
          <w:ilvl w:val="0"/>
          <w:numId w:val="1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Partición. Denuncia de bienes.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Jimena Cabanas, Mariana Serre y Alicia Trucchi.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8: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</w:t>
      </w:r>
      <w:r w:rsidRPr="00343B45">
        <w:rPr>
          <w:b/>
          <w:color w:val="000000"/>
          <w:sz w:val="22"/>
          <w:szCs w:val="22"/>
        </w:rPr>
        <w:t>22/08/2019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color w:val="000000"/>
          <w:sz w:val="22"/>
          <w:szCs w:val="22"/>
          <w:u w:val="single"/>
        </w:rPr>
      </w:pP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1.- Demanda y contestación de demanda</w:t>
      </w:r>
      <w:r w:rsidRPr="00343B45">
        <w:rPr>
          <w:color w:val="000000"/>
          <w:sz w:val="22"/>
          <w:szCs w:val="22"/>
        </w:rPr>
        <w:tab/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Diligencias Preliminares.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Demanda. Contestación y reconvención.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Oralidad en los procesos civiles.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**Actividad Práctica: Simulacro de Audiencia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2.- Prueba y medidas cautelares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Prueba. Aspectos generales. Carga. Prueba anticipada.</w:t>
      </w:r>
    </w:p>
    <w:p w:rsidR="00291971" w:rsidRPr="00343B45" w:rsidRDefault="00291971" w:rsidP="00AD748C">
      <w:pPr>
        <w:pStyle w:val="ListParagraph"/>
        <w:numPr>
          <w:ilvl w:val="0"/>
          <w:numId w:val="1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Principales aspectos de los medios probatorios.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1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Medidas cautelares.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color w:val="000000"/>
          <w:sz w:val="22"/>
          <w:szCs w:val="22"/>
        </w:rPr>
        <w:t>Duración: 1 clase.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color w:val="000000"/>
          <w:sz w:val="22"/>
          <w:szCs w:val="22"/>
        </w:rPr>
        <w:t>Disertante: Gabriela Maña, Marcela Campane y José Martin Zarate.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9: 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</w:t>
      </w:r>
      <w:r w:rsidRPr="00343B45">
        <w:rPr>
          <w:b/>
          <w:color w:val="000000"/>
          <w:sz w:val="22"/>
          <w:szCs w:val="22"/>
        </w:rPr>
        <w:t>5/09/2019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sz w:val="22"/>
          <w:szCs w:val="22"/>
        </w:rPr>
        <w:t>1.-</w:t>
      </w:r>
      <w:r w:rsidRPr="00343B45">
        <w:rPr>
          <w:b/>
          <w:color w:val="000000"/>
          <w:sz w:val="22"/>
          <w:szCs w:val="22"/>
        </w:rPr>
        <w:t>Honorarios profesionales:</w:t>
      </w:r>
    </w:p>
    <w:p w:rsidR="00291971" w:rsidRPr="00343B45" w:rsidRDefault="00291971" w:rsidP="00AD748C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Ley 14967, Contratos y pactos sobre honorarios, Regulación de honorarios y ejecución. </w:t>
      </w:r>
    </w:p>
    <w:p w:rsidR="00291971" w:rsidRPr="00343B45" w:rsidRDefault="00291971" w:rsidP="00AD748C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Honorarios de la consulta verbal y escrita. </w:t>
      </w:r>
    </w:p>
    <w:p w:rsidR="00291971" w:rsidRPr="00343B45" w:rsidRDefault="00291971" w:rsidP="00AD748C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Honorarios extrajudiciales.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2.- Sentencia y Recursos</w:t>
      </w:r>
    </w:p>
    <w:p w:rsidR="00291971" w:rsidRPr="00343B45" w:rsidRDefault="00291971" w:rsidP="00AD748C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Sentencia </w:t>
      </w:r>
    </w:p>
    <w:p w:rsidR="00291971" w:rsidRPr="00343B45" w:rsidRDefault="00291971" w:rsidP="00AD748C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Recursos </w:t>
      </w:r>
    </w:p>
    <w:p w:rsidR="00291971" w:rsidRPr="00343B45" w:rsidRDefault="00291971" w:rsidP="00AD748C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Ejecución de sentencias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Gabriel Rodríguez y Esteban Louge Emiliozzi</w:t>
      </w: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>DERECHO CIVIL YCOMERCIAL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10:  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Fecha: 12/09/2019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sz w:val="22"/>
          <w:szCs w:val="22"/>
        </w:rPr>
      </w:pPr>
      <w:r w:rsidRPr="00343B45">
        <w:rPr>
          <w:b/>
          <w:sz w:val="22"/>
          <w:szCs w:val="22"/>
        </w:rPr>
        <w:t xml:space="preserve">Derecho de Seguros. 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El siniestro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Cargas y caducidades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Límites de cobertura y franquicias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Suspensión de cobertura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Seguro contra la responsabilidad civil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Intervención del asegurador en el proceso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Citación en garantía</w:t>
      </w:r>
    </w:p>
    <w:p w:rsidR="00291971" w:rsidRPr="00343B45" w:rsidRDefault="00291971" w:rsidP="00AD748C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Seguros de vida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Carlos Alberto Schiavo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11:  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19/09/2019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1.-  Daños y Perjuicios</w:t>
      </w:r>
    </w:p>
    <w:p w:rsidR="00291971" w:rsidRPr="00343B45" w:rsidRDefault="00291971" w:rsidP="00AD748C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Daños y perjuicios. (Etapa previa, demanda, contestación).</w:t>
      </w:r>
    </w:p>
    <w:p w:rsidR="00291971" w:rsidRPr="00343B45" w:rsidRDefault="00291971" w:rsidP="00AD748C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 xml:space="preserve">Cuantificación del daño. 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>2.- Juicio ejecutivo</w:t>
      </w:r>
    </w:p>
    <w:p w:rsidR="00291971" w:rsidRPr="00343B45" w:rsidRDefault="00291971" w:rsidP="00AD748C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Preparación de la Vía Ejecutiva.</w:t>
      </w:r>
    </w:p>
    <w:p w:rsidR="00291971" w:rsidRPr="00343B45" w:rsidRDefault="00291971" w:rsidP="00AD748C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Ejecuciones de Cheque y Pagaré.</w:t>
      </w:r>
    </w:p>
    <w:p w:rsidR="00291971" w:rsidRPr="00343B45" w:rsidRDefault="00291971" w:rsidP="00AD748C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Procedimiento Judicial.</w:t>
      </w:r>
    </w:p>
    <w:p w:rsidR="00291971" w:rsidRPr="00343B45" w:rsidRDefault="00291971" w:rsidP="00AD748C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Excepciones.</w:t>
      </w:r>
    </w:p>
    <w:p w:rsidR="00291971" w:rsidRPr="00343B45" w:rsidRDefault="00291971" w:rsidP="00AD748C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Embargo.</w:t>
      </w:r>
    </w:p>
    <w:p w:rsidR="00291971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Bruno Santi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>DERECHO DEL CONSUMIDOR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12: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26/09/2019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3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Defensa del Consumidor: Procedimiento administrativo y sancionatorio. Impugnación de las sanciones. Daño Directo. Medidas preventivas.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3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Los Procesos de Consumo.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3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Implicancia del Régimen del Consumidor sobre los pagarés, cheques y juicios de Ejecución.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Lucas Sanz y Dolores Molina</w:t>
      </w:r>
      <w:bookmarkStart w:id="2" w:name="_2et92p0" w:colFirst="0" w:colLast="0"/>
      <w:bookmarkEnd w:id="2"/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DERECHO  REGISTRAL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13: 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Fecha: </w:t>
      </w:r>
      <w:r w:rsidRPr="00343B45">
        <w:rPr>
          <w:b/>
          <w:color w:val="000000"/>
          <w:sz w:val="22"/>
          <w:szCs w:val="22"/>
        </w:rPr>
        <w:t>03/10/2019</w:t>
      </w:r>
    </w:p>
    <w:p w:rsidR="00291971" w:rsidRPr="00343B45" w:rsidRDefault="00291971" w:rsidP="00AD748C">
      <w:pPr>
        <w:pStyle w:val="ListParagraph"/>
        <w:numPr>
          <w:ilvl w:val="0"/>
          <w:numId w:val="2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Sociedades</w:t>
      </w:r>
    </w:p>
    <w:p w:rsidR="00291971" w:rsidRPr="00343B45" w:rsidRDefault="00291971" w:rsidP="00AD748C">
      <w:pPr>
        <w:pStyle w:val="ListParagraph"/>
        <w:numPr>
          <w:ilvl w:val="0"/>
          <w:numId w:val="2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Civil</w:t>
      </w:r>
    </w:p>
    <w:p w:rsidR="00291971" w:rsidRPr="00343B45" w:rsidRDefault="00291971" w:rsidP="00AD748C">
      <w:pPr>
        <w:pStyle w:val="ListParagraph"/>
        <w:numPr>
          <w:ilvl w:val="0"/>
          <w:numId w:val="2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Inmobiliario</w:t>
      </w:r>
    </w:p>
    <w:p w:rsidR="00291971" w:rsidRPr="00343B45" w:rsidRDefault="00291971" w:rsidP="00AD748C">
      <w:pPr>
        <w:pStyle w:val="ListParagraph"/>
        <w:numPr>
          <w:ilvl w:val="0"/>
          <w:numId w:val="25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Automotor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Pablo Pando y Julio Sebastian Ugalde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>JUSTICIA DE FALTAS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14: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 </w:t>
      </w:r>
      <w:r w:rsidRPr="00343B45">
        <w:rPr>
          <w:b/>
          <w:sz w:val="22"/>
          <w:szCs w:val="22"/>
        </w:rPr>
        <w:t>10/10/2019</w:t>
      </w:r>
    </w:p>
    <w:p w:rsidR="00291971" w:rsidRPr="00343B45" w:rsidRDefault="00291971" w:rsidP="00AD748C">
      <w:pPr>
        <w:pStyle w:val="ListParagraph"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Procedimiento de las multas a nivel municipal, provincial y nacional.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Mirta Deoseffe y Pedro Oliveto</w:t>
      </w:r>
    </w:p>
    <w:p w:rsidR="00291971" w:rsidRPr="00AD748C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>DERECHO PROCESAL PENAL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15: </w:t>
      </w:r>
    </w:p>
    <w:p w:rsidR="00291971" w:rsidRPr="00AD748C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>Fecha:</w:t>
      </w:r>
      <w:r w:rsidRPr="00343B45">
        <w:rPr>
          <w:b/>
          <w:color w:val="000000"/>
          <w:sz w:val="22"/>
          <w:szCs w:val="22"/>
        </w:rPr>
        <w:t xml:space="preserve"> 17/10/2019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Actuación del abogado en el proceso penal.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El proceso Penal. Estructura y dinámica.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Imputado y defensor/a.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La víctima y particular damnificado.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Denuncia. IPP. Declaración. Indagatoria.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Auto de elevación a juicio. Oposición. Debate. Simulacro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Juicio por jurado.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6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Resoluciones alternativas de conflicto. Juicio abreviado. Suspensión de juicio a prueba.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Diego Araujo, Pablo Molina y Florencia Alaniz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>CIBERDELITOS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16: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>Fecha:</w:t>
      </w:r>
      <w:r w:rsidRPr="00343B45">
        <w:rPr>
          <w:b/>
          <w:sz w:val="22"/>
          <w:szCs w:val="22"/>
        </w:rPr>
        <w:t xml:space="preserve"> 24/10/2019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Identidad Digital. Ciberdelitos. Fraude informático. Tenencia de pornografía infantil. Grooming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Phishing. Hacking.| Protección de datos personales. Daño informático. Sexting |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  <w:lang w:val="en-GB"/>
        </w:rPr>
        <w:t xml:space="preserve">Revengeporn. Sextortion. Stalking. Cyberbulling. Evidencia digital. </w:t>
      </w:r>
      <w:r w:rsidRPr="00343B45">
        <w:rPr>
          <w:rFonts w:ascii="Times New Roman" w:hAnsi="Times New Roman" w:cs="Times New Roman"/>
          <w:color w:val="000000"/>
        </w:rPr>
        <w:t xml:space="preserve">Seguridad informática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 xml:space="preserve">Dirección IP. Deep web. Identificación por radiofrecuencia. Informática forense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  <w:u w:val="single"/>
        </w:rPr>
      </w:pP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Lucas Moyano (Fiscal)</w:t>
      </w:r>
    </w:p>
    <w:p w:rsidR="00291971" w:rsidRPr="00AD748C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DERECHO CONSTITUCIONAL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17: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31/10/2019</w:t>
      </w:r>
    </w:p>
    <w:p w:rsidR="00291971" w:rsidRPr="00343B45" w:rsidRDefault="00291971" w:rsidP="00AD748C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Instituciones de Derecho Público Provincial y Municipal.</w:t>
      </w:r>
    </w:p>
    <w:p w:rsidR="00291971" w:rsidRPr="00343B45" w:rsidRDefault="00291971" w:rsidP="00AD748C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bookmarkStart w:id="3" w:name="_tyjcwt" w:colFirst="0" w:colLast="0"/>
      <w:bookmarkEnd w:id="3"/>
      <w:r w:rsidRPr="00343B45">
        <w:rPr>
          <w:rFonts w:ascii="Times New Roman" w:hAnsi="Times New Roman" w:cs="Times New Roman"/>
        </w:rPr>
        <w:t>Amparos.  Amparo de salud.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2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Procedimientos.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Gabriela Marti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DERECHO ADMINISTRATIVO Y TRIBUTARIO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18: 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7/11/2019</w:t>
      </w:r>
    </w:p>
    <w:p w:rsidR="00291971" w:rsidRPr="00343B45" w:rsidRDefault="00291971" w:rsidP="00AD748C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Inicio de trámite en sede administrativa.</w:t>
      </w:r>
    </w:p>
    <w:p w:rsidR="00291971" w:rsidRPr="00343B45" w:rsidRDefault="00291971" w:rsidP="00AD748C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Procedimientos.</w:t>
      </w:r>
    </w:p>
    <w:p w:rsidR="00291971" w:rsidRPr="00343B45" w:rsidRDefault="00291971" w:rsidP="00AD748C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Pretensiones. Requisitos. Agotamiento de la vía administrativa</w:t>
      </w:r>
    </w:p>
    <w:p w:rsidR="00291971" w:rsidRPr="00343B45" w:rsidRDefault="00291971" w:rsidP="00AD748C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Principios de proceso contencioso-administrativo</w:t>
      </w:r>
    </w:p>
    <w:p w:rsidR="00291971" w:rsidRPr="00343B45" w:rsidRDefault="00291971" w:rsidP="00AD748C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Derecho Tributario. Aspectos generales.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color w:val="000000"/>
          <w:sz w:val="22"/>
          <w:szCs w:val="22"/>
        </w:rPr>
        <w:t>Duración: 1 clase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color w:val="000000"/>
          <w:sz w:val="22"/>
          <w:szCs w:val="22"/>
        </w:rPr>
      </w:pPr>
      <w:r w:rsidRPr="00343B45">
        <w:rPr>
          <w:color w:val="000000"/>
          <w:sz w:val="22"/>
          <w:szCs w:val="22"/>
        </w:rPr>
        <w:t>Disertante: Paula Lafourcade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Chars="0" w:left="0" w:firstLineChars="0" w:firstLine="0"/>
        <w:jc w:val="both"/>
        <w:rPr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DERECHO LABORAL 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 xml:space="preserve">CLASE 19: </w:t>
      </w:r>
    </w:p>
    <w:p w:rsidR="00291971" w:rsidRPr="00AD748C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  <w:u w:val="single"/>
        </w:rPr>
        <w:t>Fecha:</w:t>
      </w:r>
      <w:r w:rsidRPr="00343B45">
        <w:rPr>
          <w:b/>
          <w:color w:val="000000"/>
          <w:sz w:val="22"/>
          <w:szCs w:val="22"/>
        </w:rPr>
        <w:t xml:space="preserve"> 14/11/2019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</w:rPr>
      </w:pPr>
      <w:r w:rsidRPr="00343B45">
        <w:rPr>
          <w:b/>
          <w:sz w:val="22"/>
          <w:szCs w:val="22"/>
        </w:rPr>
        <w:t xml:space="preserve">Laboral </w:t>
      </w:r>
    </w:p>
    <w:p w:rsidR="00291971" w:rsidRPr="00343B45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Intercambio Telegráfico.</w:t>
      </w:r>
    </w:p>
    <w:p w:rsidR="00291971" w:rsidRPr="00343B45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Procedimiento administrativo.</w:t>
      </w:r>
    </w:p>
    <w:p w:rsidR="00291971" w:rsidRPr="00343B45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Demanda. Contestación y reconvención.</w:t>
      </w:r>
    </w:p>
    <w:p w:rsidR="00291971" w:rsidRPr="00343B45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Plazos y Notificaciones.</w:t>
      </w:r>
    </w:p>
    <w:p w:rsidR="00291971" w:rsidRPr="00343B45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Prueba: Aspectos generales. Carga. Prueba Anticipada.</w:t>
      </w:r>
    </w:p>
    <w:p w:rsidR="00291971" w:rsidRPr="00343B45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Medidas Cautelares.</w:t>
      </w:r>
    </w:p>
    <w:p w:rsidR="00291971" w:rsidRPr="00343B45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Audiencia de Vista de Causa. Simulacro.</w:t>
      </w:r>
    </w:p>
    <w:p w:rsidR="00291971" w:rsidRPr="00AD748C" w:rsidRDefault="00291971" w:rsidP="00AD748C">
      <w:pPr>
        <w:pStyle w:val="ListParagraph"/>
        <w:numPr>
          <w:ilvl w:val="0"/>
          <w:numId w:val="34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t xml:space="preserve">Sentencia. Recursos. Ejecución de Sentencia.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Juan Pablo Maña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20: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21/11/2019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</w:rPr>
        <w:t>Accidentes y enfermedades laborales</w:t>
      </w:r>
      <w:r w:rsidRPr="00343B45">
        <w:rPr>
          <w:sz w:val="22"/>
          <w:szCs w:val="22"/>
        </w:rPr>
        <w:t xml:space="preserve">. </w:t>
      </w:r>
    </w:p>
    <w:p w:rsidR="00291971" w:rsidRPr="00343B45" w:rsidRDefault="00291971" w:rsidP="00AD748C">
      <w:pPr>
        <w:pStyle w:val="ListParagraph"/>
        <w:numPr>
          <w:ilvl w:val="0"/>
          <w:numId w:val="3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Ley ART</w:t>
      </w:r>
    </w:p>
    <w:p w:rsidR="00291971" w:rsidRPr="00343B45" w:rsidRDefault="00291971" w:rsidP="00AD748C">
      <w:pPr>
        <w:pStyle w:val="ListParagraph"/>
        <w:numPr>
          <w:ilvl w:val="0"/>
          <w:numId w:val="3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Comisiones médicas.</w:t>
      </w:r>
    </w:p>
    <w:p w:rsidR="00291971" w:rsidRPr="00AD748C" w:rsidRDefault="00291971" w:rsidP="00AD748C">
      <w:pPr>
        <w:pStyle w:val="ListParagraph"/>
        <w:numPr>
          <w:ilvl w:val="0"/>
          <w:numId w:val="37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t>Inconstitucionalidades.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Juan Pablo Maña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21:   </w:t>
      </w:r>
    </w:p>
    <w:p w:rsidR="00291971" w:rsidRPr="00AD748C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r w:rsidRPr="00343B45">
        <w:rPr>
          <w:b/>
          <w:sz w:val="22"/>
          <w:szCs w:val="22"/>
        </w:rPr>
        <w:t>28/11/2019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 xml:space="preserve">Previsional 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3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Régimen de Jubilación: ANSES / IPS.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3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000000"/>
        </w:rPr>
      </w:pPr>
      <w:r w:rsidRPr="00343B45">
        <w:rPr>
          <w:rFonts w:ascii="Times New Roman" w:hAnsi="Times New Roman" w:cs="Times New Roman"/>
          <w:color w:val="000000"/>
        </w:rPr>
        <w:t>Jubilación Docente.</w:t>
      </w:r>
    </w:p>
    <w:p w:rsidR="00291971" w:rsidRPr="00343B45" w:rsidRDefault="00291971" w:rsidP="00AD748C">
      <w:pPr>
        <w:pStyle w:val="ListParagraph"/>
        <w:keepNext/>
        <w:keepLines/>
        <w:numPr>
          <w:ilvl w:val="0"/>
          <w:numId w:val="38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  <w:color w:val="366091"/>
        </w:rPr>
      </w:pPr>
      <w:r w:rsidRPr="00343B45">
        <w:rPr>
          <w:rFonts w:ascii="Times New Roman" w:hAnsi="Times New Roman" w:cs="Times New Roman"/>
          <w:color w:val="000000"/>
        </w:rPr>
        <w:t>Reajuste de haberes.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clase.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Itamar Bujacich y Diego Blundo</w:t>
      </w:r>
    </w:p>
    <w:p w:rsidR="00291971" w:rsidRPr="00343B45" w:rsidRDefault="00291971" w:rsidP="00AD748C">
      <w:pPr>
        <w:keepNext/>
        <w:keepLines/>
        <w:spacing w:before="100" w:beforeAutospacing="1" w:after="100" w:afterAutospacing="1" w:line="360" w:lineRule="auto"/>
        <w:ind w:left="31680" w:firstLine="31680"/>
        <w:jc w:val="both"/>
        <w:rPr>
          <w:b/>
          <w:color w:val="000000"/>
          <w:sz w:val="22"/>
          <w:szCs w:val="22"/>
          <w:u w:val="single"/>
        </w:rPr>
      </w:pPr>
      <w:r w:rsidRPr="00343B45">
        <w:rPr>
          <w:b/>
          <w:color w:val="000000"/>
          <w:sz w:val="22"/>
          <w:szCs w:val="22"/>
          <w:u w:val="single"/>
        </w:rPr>
        <w:t>ORALIDAD Y LIDERAZGO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>CLASE FINAL ABIERTA Y TODOS JUNTOS EN AZUL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b/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CLASE FINAL 22: 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  <w:u w:val="single"/>
        </w:rPr>
      </w:pPr>
      <w:r w:rsidRPr="00343B45">
        <w:rPr>
          <w:b/>
          <w:sz w:val="22"/>
          <w:szCs w:val="22"/>
          <w:u w:val="single"/>
        </w:rPr>
        <w:t xml:space="preserve">Fecha: </w:t>
      </w:r>
      <w:bookmarkStart w:id="4" w:name="_GoBack"/>
      <w:bookmarkEnd w:id="4"/>
      <w:r w:rsidRPr="00343B45">
        <w:rPr>
          <w:b/>
          <w:sz w:val="22"/>
          <w:szCs w:val="22"/>
          <w:u w:val="single"/>
        </w:rPr>
        <w:t>05 de Diciembre de 2019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b/>
          <w:sz w:val="22"/>
          <w:szCs w:val="22"/>
        </w:rPr>
      </w:pPr>
      <w:r w:rsidRPr="00343B45">
        <w:rPr>
          <w:b/>
          <w:color w:val="000000"/>
          <w:sz w:val="22"/>
          <w:szCs w:val="22"/>
        </w:rPr>
        <w:t xml:space="preserve">1.- </w:t>
      </w:r>
      <w:r w:rsidRPr="00343B45">
        <w:rPr>
          <w:b/>
          <w:sz w:val="22"/>
          <w:szCs w:val="22"/>
        </w:rPr>
        <w:t xml:space="preserve">Técnicas de oratoria: </w:t>
      </w:r>
    </w:p>
    <w:p w:rsidR="00291971" w:rsidRPr="00343B45" w:rsidRDefault="00291971" w:rsidP="00AD748C">
      <w:pPr>
        <w:pStyle w:val="ListParagraph"/>
        <w:numPr>
          <w:ilvl w:val="0"/>
          <w:numId w:val="3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 xml:space="preserve">Técnica oral profesional. Vicios de dicción. Técnica de improvisación. Miedo oratorio: causas y técnicas de superación. El discurso argumentativo (partes).  El factor emocional. La inteligencia emocional y la creatividad aplicada a la construcción argumentativa. </w:t>
      </w:r>
    </w:p>
    <w:p w:rsidR="00291971" w:rsidRPr="00343B45" w:rsidRDefault="00291971" w:rsidP="00AD748C">
      <w:pPr>
        <w:pStyle w:val="ListParagraph"/>
        <w:numPr>
          <w:ilvl w:val="0"/>
          <w:numId w:val="3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 xml:space="preserve">La importancia de la comunicación no verbal: 1. La primera impresión 2. La mirada 3. La postura corporal y la gesticulación en sala 4. El manejo de las manos y los recursos para utilizarlas correctamente. </w:t>
      </w:r>
    </w:p>
    <w:p w:rsidR="00291971" w:rsidRPr="00343B45" w:rsidRDefault="00291971" w:rsidP="00AD748C">
      <w:pPr>
        <w:pStyle w:val="ListParagraph"/>
        <w:numPr>
          <w:ilvl w:val="0"/>
          <w:numId w:val="3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Factores que permiten mantener el interés durante nuestra intervención en sala: 1. La entonación y el ritmo 2. Los canales de la comunicación 3. El manejo eficaz de las pausas.</w:t>
      </w:r>
    </w:p>
    <w:p w:rsidR="00291971" w:rsidRPr="00AD748C" w:rsidRDefault="00291971" w:rsidP="00AD748C">
      <w:pPr>
        <w:pStyle w:val="ListParagraph"/>
        <w:numPr>
          <w:ilvl w:val="0"/>
          <w:numId w:val="39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AD748C">
        <w:rPr>
          <w:rFonts w:ascii="Times New Roman" w:hAnsi="Times New Roman" w:cs="Times New Roman"/>
        </w:rPr>
        <w:t>El hilo discursivo</w:t>
      </w:r>
    </w:p>
    <w:p w:rsidR="00291971" w:rsidRPr="00343B45" w:rsidRDefault="00291971" w:rsidP="00AD748C">
      <w:pPr>
        <w:spacing w:before="100" w:beforeAutospacing="1" w:after="100" w:afterAutospacing="1" w:line="360" w:lineRule="auto"/>
        <w:ind w:leftChars="0" w:left="0" w:firstLineChars="0" w:firstLine="0"/>
        <w:jc w:val="both"/>
        <w:rPr>
          <w:sz w:val="22"/>
          <w:szCs w:val="22"/>
        </w:rPr>
      </w:pPr>
      <w:r w:rsidRPr="00343B45">
        <w:rPr>
          <w:b/>
          <w:sz w:val="22"/>
          <w:szCs w:val="22"/>
        </w:rPr>
        <w:t>2.- Herramientas de liderazgo: concepto de liderazgo</w:t>
      </w:r>
      <w:r w:rsidRPr="00343B45">
        <w:rPr>
          <w:sz w:val="22"/>
          <w:szCs w:val="22"/>
        </w:rPr>
        <w:t xml:space="preserve">. </w:t>
      </w:r>
    </w:p>
    <w:p w:rsidR="00291971" w:rsidRPr="00343B45" w:rsidRDefault="00291971" w:rsidP="00AD748C">
      <w:pPr>
        <w:pStyle w:val="ListParagraph"/>
        <w:numPr>
          <w:ilvl w:val="0"/>
          <w:numId w:val="40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Abogacía y liderazgo. Estrategias esenciales de los abogados desde el autoconocimiento. Superar barreras personales. Calidad personal: óptimo profesional.</w:t>
      </w:r>
    </w:p>
    <w:p w:rsidR="00291971" w:rsidRPr="00343B45" w:rsidRDefault="00291971" w:rsidP="00AD748C">
      <w:pPr>
        <w:pStyle w:val="ListParagraph"/>
        <w:numPr>
          <w:ilvl w:val="0"/>
          <w:numId w:val="40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Competencias sociales y emocionales para la gestión de la relación con el cliente.</w:t>
      </w:r>
    </w:p>
    <w:p w:rsidR="00291971" w:rsidRPr="00343B45" w:rsidRDefault="00291971" w:rsidP="00AD748C">
      <w:pPr>
        <w:pStyle w:val="ListParagraph"/>
        <w:numPr>
          <w:ilvl w:val="0"/>
          <w:numId w:val="40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Inteligencia jurídica y comunicacional del Abogado. Eficiencia profesional.</w:t>
      </w:r>
    </w:p>
    <w:p w:rsidR="00291971" w:rsidRPr="00343B45" w:rsidRDefault="00291971" w:rsidP="00AD748C">
      <w:pPr>
        <w:pStyle w:val="ListParagraph"/>
        <w:numPr>
          <w:ilvl w:val="0"/>
          <w:numId w:val="40"/>
        </w:numPr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Equipos de abogados. Gestión para el alto rendimiento y para el trabajo colaborativo de asuntos complejos.</w:t>
      </w:r>
    </w:p>
    <w:p w:rsidR="00291971" w:rsidRPr="00343B45" w:rsidRDefault="00291971" w:rsidP="00AD748C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Liderazgo Personal. Responsabilidad incondicional. Hábitos de las personas altamente efectivas. Marca Personal. Estilos personales en el uso del tiempo. Lo urgente vs. Lo importante. </w:t>
      </w:r>
    </w:p>
    <w:p w:rsidR="00291971" w:rsidRPr="00343B45" w:rsidRDefault="00291971" w:rsidP="00AD748C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 xml:space="preserve">El contexto emocional y su impacto en el clima laboral. La emoción como desencadenante de la acción. Autogestión emocional para la motivación personal y del equipo de trabajo. </w:t>
      </w:r>
    </w:p>
    <w:p w:rsidR="00291971" w:rsidRPr="00343B45" w:rsidRDefault="00291971" w:rsidP="00AD748C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 w:line="360" w:lineRule="auto"/>
        <w:ind w:leftChars="0" w:firstLineChars="0"/>
        <w:jc w:val="both"/>
        <w:rPr>
          <w:rFonts w:ascii="Times New Roman" w:hAnsi="Times New Roman" w:cs="Times New Roman"/>
        </w:rPr>
      </w:pPr>
      <w:r w:rsidRPr="00343B45">
        <w:rPr>
          <w:rFonts w:ascii="Times New Roman" w:hAnsi="Times New Roman" w:cs="Times New Roman"/>
        </w:rPr>
        <w:t>Áreas y acciones de liderazgo. Desarrollo y retención del talento.  Gestión de desempeño.  Estilos  de liderazgo.</w:t>
      </w:r>
    </w:p>
    <w:p w:rsidR="00291971" w:rsidRPr="00343B45" w:rsidRDefault="00291971" w:rsidP="00AD748C">
      <w:pPr>
        <w:shd w:val="clear" w:color="auto" w:fill="FFFFFF"/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Duración: 1 clase</w:t>
      </w:r>
    </w:p>
    <w:p w:rsidR="00291971" w:rsidRPr="00343B45" w:rsidRDefault="00291971" w:rsidP="00AD748C">
      <w:pPr>
        <w:shd w:val="clear" w:color="auto" w:fill="FFFFFF"/>
        <w:spacing w:before="100" w:beforeAutospacing="1" w:after="100" w:afterAutospacing="1" w:line="360" w:lineRule="auto"/>
        <w:ind w:left="31680" w:firstLine="31680"/>
        <w:jc w:val="both"/>
        <w:rPr>
          <w:sz w:val="22"/>
          <w:szCs w:val="22"/>
        </w:rPr>
      </w:pPr>
      <w:r w:rsidRPr="00343B45">
        <w:rPr>
          <w:sz w:val="22"/>
          <w:szCs w:val="22"/>
        </w:rPr>
        <w:t>Disertante: Lina Zubiría</w:t>
      </w:r>
    </w:p>
    <w:p w:rsidR="00291971" w:rsidRDefault="00291971" w:rsidP="00343B45">
      <w:pPr>
        <w:shd w:val="clear" w:color="auto" w:fill="FFFFFF"/>
        <w:spacing w:line="360" w:lineRule="auto"/>
        <w:ind w:left="31680" w:firstLine="31680"/>
        <w:jc w:val="both"/>
      </w:pPr>
    </w:p>
    <w:p w:rsidR="00291971" w:rsidRDefault="00291971" w:rsidP="00171993">
      <w:pPr>
        <w:shd w:val="clear" w:color="auto" w:fill="FFFFFF"/>
        <w:spacing w:line="360" w:lineRule="auto"/>
        <w:ind w:left="31680" w:firstLine="31680"/>
        <w:jc w:val="both"/>
      </w:pPr>
    </w:p>
    <w:sectPr w:rsidR="00291971" w:rsidSect="003D5BCB">
      <w:headerReference w:type="default" r:id="rId7"/>
      <w:pgSz w:w="11907" w:h="16840"/>
      <w:pgMar w:top="2268" w:right="851" w:bottom="1134" w:left="2268" w:header="709" w:footer="709" w:gutter="0"/>
      <w:pgNumType w:start="1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971" w:rsidRDefault="00291971" w:rsidP="00171993">
      <w:pPr>
        <w:spacing w:line="240" w:lineRule="auto"/>
        <w:ind w:left="31680" w:firstLine="31680"/>
      </w:pPr>
      <w:r>
        <w:separator/>
      </w:r>
    </w:p>
  </w:endnote>
  <w:endnote w:type="continuationSeparator" w:id="1">
    <w:p w:rsidR="00291971" w:rsidRDefault="00291971" w:rsidP="00171993">
      <w:pPr>
        <w:spacing w:line="240" w:lineRule="auto"/>
        <w:ind w:left="31680" w:firstLine="316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971" w:rsidRDefault="00291971" w:rsidP="00171993">
      <w:pPr>
        <w:spacing w:line="240" w:lineRule="auto"/>
        <w:ind w:left="31680" w:firstLine="31680"/>
      </w:pPr>
      <w:r>
        <w:separator/>
      </w:r>
    </w:p>
  </w:footnote>
  <w:footnote w:type="continuationSeparator" w:id="1">
    <w:p w:rsidR="00291971" w:rsidRDefault="00291971" w:rsidP="00171993">
      <w:pPr>
        <w:spacing w:line="240" w:lineRule="auto"/>
        <w:ind w:left="31680" w:firstLine="316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71" w:rsidRDefault="00291971" w:rsidP="00343B45">
    <w:pPr>
      <w:tabs>
        <w:tab w:val="center" w:pos="4419"/>
        <w:tab w:val="right" w:pos="8838"/>
      </w:tabs>
      <w:spacing w:line="240" w:lineRule="auto"/>
      <w:ind w:left="31680" w:firstLine="31680"/>
      <w:jc w:val="right"/>
      <w:rPr>
        <w:color w:val="000000"/>
      </w:rPr>
    </w:pPr>
  </w:p>
  <w:p w:rsidR="00291971" w:rsidRDefault="00291971" w:rsidP="00343B45">
    <w:pPr>
      <w:tabs>
        <w:tab w:val="center" w:pos="4419"/>
        <w:tab w:val="right" w:pos="8838"/>
      </w:tabs>
      <w:spacing w:line="240" w:lineRule="auto"/>
      <w:ind w:left="31680" w:firstLine="31680"/>
      <w:jc w:val="right"/>
      <w:rPr>
        <w:color w:val="000000"/>
      </w:rPr>
    </w:pPr>
  </w:p>
  <w:p w:rsidR="00291971" w:rsidRDefault="00291971" w:rsidP="00171993">
    <w:pPr>
      <w:tabs>
        <w:tab w:val="center" w:pos="4419"/>
        <w:tab w:val="right" w:pos="8838"/>
      </w:tabs>
      <w:spacing w:line="240" w:lineRule="auto"/>
      <w:ind w:left="31680" w:firstLine="31680"/>
      <w:jc w:val="right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327"/>
    <w:multiLevelType w:val="hybridMultilevel"/>
    <w:tmpl w:val="29DAE598"/>
    <w:lvl w:ilvl="0" w:tplc="64FEFB3C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2A4898"/>
    <w:multiLevelType w:val="hybridMultilevel"/>
    <w:tmpl w:val="729C6856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>
    <w:nsid w:val="019D21DA"/>
    <w:multiLevelType w:val="hybridMultilevel"/>
    <w:tmpl w:val="ACD4E1E8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>
    <w:nsid w:val="031D2024"/>
    <w:multiLevelType w:val="hybridMultilevel"/>
    <w:tmpl w:val="54E409DE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>
    <w:nsid w:val="03940109"/>
    <w:multiLevelType w:val="hybridMultilevel"/>
    <w:tmpl w:val="E920219C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>
    <w:nsid w:val="11923EC8"/>
    <w:multiLevelType w:val="hybridMultilevel"/>
    <w:tmpl w:val="7CE853AE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>
    <w:nsid w:val="16E80618"/>
    <w:multiLevelType w:val="hybridMultilevel"/>
    <w:tmpl w:val="E5044B3E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>
    <w:nsid w:val="1A380162"/>
    <w:multiLevelType w:val="hybridMultilevel"/>
    <w:tmpl w:val="83F261EE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1B331F97"/>
    <w:multiLevelType w:val="hybridMultilevel"/>
    <w:tmpl w:val="2B7CC082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1CDC4FDC"/>
    <w:multiLevelType w:val="hybridMultilevel"/>
    <w:tmpl w:val="F190ABBA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7E7129"/>
    <w:multiLevelType w:val="hybridMultilevel"/>
    <w:tmpl w:val="1AE8BD86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>
    <w:nsid w:val="1F7A455C"/>
    <w:multiLevelType w:val="hybridMultilevel"/>
    <w:tmpl w:val="A2B6B644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242F6B54"/>
    <w:multiLevelType w:val="hybridMultilevel"/>
    <w:tmpl w:val="71FC5F68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C23712"/>
    <w:multiLevelType w:val="hybridMultilevel"/>
    <w:tmpl w:val="CDFA8154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>
    <w:nsid w:val="29747BB1"/>
    <w:multiLevelType w:val="hybridMultilevel"/>
    <w:tmpl w:val="5C6E60E4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>
    <w:nsid w:val="2B71588F"/>
    <w:multiLevelType w:val="hybridMultilevel"/>
    <w:tmpl w:val="7F08F05A"/>
    <w:lvl w:ilvl="0" w:tplc="64FEFB3C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D210696"/>
    <w:multiLevelType w:val="hybridMultilevel"/>
    <w:tmpl w:val="BBF41050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>
    <w:nsid w:val="2F2845A1"/>
    <w:multiLevelType w:val="multilevel"/>
    <w:tmpl w:val="F9641016"/>
    <w:lvl w:ilvl="0">
      <w:start w:val="1"/>
      <w:numFmt w:val="bullet"/>
      <w:lvlText w:val="-"/>
      <w:lvlJc w:val="left"/>
      <w:pPr>
        <w:ind w:left="1353" w:hanging="359"/>
      </w:pPr>
      <w:rPr>
        <w:rFonts w:ascii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Times New Roman" w:hAnsi="Noto Sans Symbols"/>
        <w:vertAlign w:val="baseline"/>
      </w:rPr>
    </w:lvl>
  </w:abstractNum>
  <w:abstractNum w:abstractNumId="18">
    <w:nsid w:val="33B44D4B"/>
    <w:multiLevelType w:val="hybridMultilevel"/>
    <w:tmpl w:val="FAD6895C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>
    <w:nsid w:val="37446539"/>
    <w:multiLevelType w:val="hybridMultilevel"/>
    <w:tmpl w:val="2C24ED8C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F27CBF"/>
    <w:multiLevelType w:val="hybridMultilevel"/>
    <w:tmpl w:val="1A661ABA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>
    <w:nsid w:val="3C9E35F9"/>
    <w:multiLevelType w:val="hybridMultilevel"/>
    <w:tmpl w:val="91B40A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3C475E"/>
    <w:multiLevelType w:val="multilevel"/>
    <w:tmpl w:val="2D7C3A22"/>
    <w:lvl w:ilvl="0">
      <w:start w:val="7"/>
      <w:numFmt w:val="decimal"/>
      <w:lvlText w:val="%1"/>
      <w:lvlJc w:val="left"/>
      <w:pPr>
        <w:ind w:left="360" w:hanging="360"/>
      </w:pPr>
      <w:rPr>
        <w:rFonts w:cs="Times New Roman"/>
        <w:b w:val="0"/>
        <w:u w:val="single"/>
        <w:vertAlign w:val="baseli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  <w:b w:val="0"/>
        <w:u w:val="singl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  <w:u w:val="single"/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  <w:b w:val="0"/>
        <w:u w:val="single"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 w:val="0"/>
        <w:u w:val="single"/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  <w:b w:val="0"/>
        <w:u w:val="single"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 w:val="0"/>
        <w:u w:val="single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  <w:b w:val="0"/>
        <w:u w:val="single"/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  <w:b w:val="0"/>
        <w:u w:val="single"/>
        <w:vertAlign w:val="baseline"/>
      </w:rPr>
    </w:lvl>
  </w:abstractNum>
  <w:abstractNum w:abstractNumId="23">
    <w:nsid w:val="472D48FE"/>
    <w:multiLevelType w:val="hybridMultilevel"/>
    <w:tmpl w:val="F4202BA8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>
    <w:nsid w:val="483D21C3"/>
    <w:multiLevelType w:val="multilevel"/>
    <w:tmpl w:val="FA74E118"/>
    <w:lvl w:ilvl="0">
      <w:start w:val="1"/>
      <w:numFmt w:val="upperLetter"/>
      <w:lvlText w:val="%1-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vertAlign w:val="baseline"/>
      </w:rPr>
    </w:lvl>
  </w:abstractNum>
  <w:abstractNum w:abstractNumId="25">
    <w:nsid w:val="4C3A1D81"/>
    <w:multiLevelType w:val="hybridMultilevel"/>
    <w:tmpl w:val="1AA80E16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>
    <w:nsid w:val="4C842186"/>
    <w:multiLevelType w:val="hybridMultilevel"/>
    <w:tmpl w:val="AE822DD2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7">
    <w:nsid w:val="532F09BD"/>
    <w:multiLevelType w:val="hybridMultilevel"/>
    <w:tmpl w:val="8A623892"/>
    <w:lvl w:ilvl="0" w:tplc="64FEFB3C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B9B1A8F"/>
    <w:multiLevelType w:val="multilevel"/>
    <w:tmpl w:val="F0AA732A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vertAlign w:val="baseline"/>
      </w:rPr>
    </w:lvl>
  </w:abstractNum>
  <w:abstractNum w:abstractNumId="29">
    <w:nsid w:val="5CEF1404"/>
    <w:multiLevelType w:val="hybridMultilevel"/>
    <w:tmpl w:val="48D8087E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>
    <w:nsid w:val="5E5D5092"/>
    <w:multiLevelType w:val="hybridMultilevel"/>
    <w:tmpl w:val="7E68DAEE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7B59CE"/>
    <w:multiLevelType w:val="hybridMultilevel"/>
    <w:tmpl w:val="3634DCC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113E71"/>
    <w:multiLevelType w:val="hybridMultilevel"/>
    <w:tmpl w:val="4FC6D8DE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3">
    <w:nsid w:val="64705D98"/>
    <w:multiLevelType w:val="hybridMultilevel"/>
    <w:tmpl w:val="9AD69FF0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234D2D"/>
    <w:multiLevelType w:val="multilevel"/>
    <w:tmpl w:val="F0AA732A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vertAlign w:val="baseline"/>
      </w:rPr>
    </w:lvl>
  </w:abstractNum>
  <w:abstractNum w:abstractNumId="35">
    <w:nsid w:val="68B65499"/>
    <w:multiLevelType w:val="multilevel"/>
    <w:tmpl w:val="F0AA732A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Times New Roman" w:hAnsi="Noto Sans Symbols"/>
        <w:vertAlign w:val="baseline"/>
      </w:rPr>
    </w:lvl>
  </w:abstractNum>
  <w:abstractNum w:abstractNumId="36">
    <w:nsid w:val="69C50A11"/>
    <w:multiLevelType w:val="hybridMultilevel"/>
    <w:tmpl w:val="9FBC77B8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7">
    <w:nsid w:val="6CAC61DA"/>
    <w:multiLevelType w:val="hybridMultilevel"/>
    <w:tmpl w:val="8D48A3E0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>
    <w:nsid w:val="702C15BB"/>
    <w:multiLevelType w:val="hybridMultilevel"/>
    <w:tmpl w:val="BE3233F0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>
    <w:nsid w:val="702F0007"/>
    <w:multiLevelType w:val="hybridMultilevel"/>
    <w:tmpl w:val="FE5253E2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0">
    <w:nsid w:val="72FF7CA9"/>
    <w:multiLevelType w:val="hybridMultilevel"/>
    <w:tmpl w:val="F5B601DA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>
    <w:nsid w:val="76EA3DFE"/>
    <w:multiLevelType w:val="hybridMultilevel"/>
    <w:tmpl w:val="BA2238EE"/>
    <w:lvl w:ilvl="0" w:tplc="64FEFB3C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2">
    <w:nsid w:val="7AC23AE3"/>
    <w:multiLevelType w:val="hybridMultilevel"/>
    <w:tmpl w:val="98789E56"/>
    <w:lvl w:ilvl="0" w:tplc="64FEFB3C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D1E46D3"/>
    <w:multiLevelType w:val="hybridMultilevel"/>
    <w:tmpl w:val="8F005BF0"/>
    <w:lvl w:ilvl="0" w:tplc="64FEFB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FE6672B"/>
    <w:multiLevelType w:val="hybridMultilevel"/>
    <w:tmpl w:val="F482A58A"/>
    <w:lvl w:ilvl="0" w:tplc="64FEFB3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34"/>
  </w:num>
  <w:num w:numId="4">
    <w:abstractNumId w:val="22"/>
  </w:num>
  <w:num w:numId="5">
    <w:abstractNumId w:val="39"/>
  </w:num>
  <w:num w:numId="6">
    <w:abstractNumId w:val="31"/>
  </w:num>
  <w:num w:numId="7">
    <w:abstractNumId w:val="11"/>
  </w:num>
  <w:num w:numId="8">
    <w:abstractNumId w:val="37"/>
  </w:num>
  <w:num w:numId="9">
    <w:abstractNumId w:val="4"/>
  </w:num>
  <w:num w:numId="10">
    <w:abstractNumId w:val="38"/>
  </w:num>
  <w:num w:numId="11">
    <w:abstractNumId w:val="21"/>
  </w:num>
  <w:num w:numId="12">
    <w:abstractNumId w:val="14"/>
  </w:num>
  <w:num w:numId="13">
    <w:abstractNumId w:val="41"/>
  </w:num>
  <w:num w:numId="14">
    <w:abstractNumId w:val="3"/>
  </w:num>
  <w:num w:numId="15">
    <w:abstractNumId w:val="16"/>
  </w:num>
  <w:num w:numId="16">
    <w:abstractNumId w:val="2"/>
  </w:num>
  <w:num w:numId="17">
    <w:abstractNumId w:val="10"/>
  </w:num>
  <w:num w:numId="18">
    <w:abstractNumId w:val="5"/>
  </w:num>
  <w:num w:numId="19">
    <w:abstractNumId w:val="20"/>
  </w:num>
  <w:num w:numId="20">
    <w:abstractNumId w:val="25"/>
  </w:num>
  <w:num w:numId="21">
    <w:abstractNumId w:val="33"/>
  </w:num>
  <w:num w:numId="22">
    <w:abstractNumId w:val="12"/>
  </w:num>
  <w:num w:numId="23">
    <w:abstractNumId w:val="7"/>
  </w:num>
  <w:num w:numId="24">
    <w:abstractNumId w:val="36"/>
  </w:num>
  <w:num w:numId="25">
    <w:abstractNumId w:val="19"/>
  </w:num>
  <w:num w:numId="26">
    <w:abstractNumId w:val="18"/>
  </w:num>
  <w:num w:numId="27">
    <w:abstractNumId w:val="32"/>
  </w:num>
  <w:num w:numId="28">
    <w:abstractNumId w:val="26"/>
  </w:num>
  <w:num w:numId="29">
    <w:abstractNumId w:val="23"/>
  </w:num>
  <w:num w:numId="30">
    <w:abstractNumId w:val="8"/>
  </w:num>
  <w:num w:numId="31">
    <w:abstractNumId w:val="42"/>
  </w:num>
  <w:num w:numId="32">
    <w:abstractNumId w:val="15"/>
  </w:num>
  <w:num w:numId="33">
    <w:abstractNumId w:val="0"/>
  </w:num>
  <w:num w:numId="34">
    <w:abstractNumId w:val="30"/>
  </w:num>
  <w:num w:numId="35">
    <w:abstractNumId w:val="13"/>
  </w:num>
  <w:num w:numId="36">
    <w:abstractNumId w:val="27"/>
  </w:num>
  <w:num w:numId="37">
    <w:abstractNumId w:val="9"/>
  </w:num>
  <w:num w:numId="38">
    <w:abstractNumId w:val="1"/>
  </w:num>
  <w:num w:numId="39">
    <w:abstractNumId w:val="44"/>
  </w:num>
  <w:num w:numId="40">
    <w:abstractNumId w:val="40"/>
  </w:num>
  <w:num w:numId="41">
    <w:abstractNumId w:val="28"/>
  </w:num>
  <w:num w:numId="42">
    <w:abstractNumId w:val="35"/>
  </w:num>
  <w:num w:numId="43">
    <w:abstractNumId w:val="43"/>
  </w:num>
  <w:num w:numId="44">
    <w:abstractNumId w:val="6"/>
  </w:num>
  <w:num w:numId="4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0B30"/>
    <w:rsid w:val="000401B4"/>
    <w:rsid w:val="000F7BC0"/>
    <w:rsid w:val="00162B07"/>
    <w:rsid w:val="00171993"/>
    <w:rsid w:val="00291971"/>
    <w:rsid w:val="0030468B"/>
    <w:rsid w:val="003277BC"/>
    <w:rsid w:val="00343B45"/>
    <w:rsid w:val="003D5BCB"/>
    <w:rsid w:val="00435D2D"/>
    <w:rsid w:val="00446F68"/>
    <w:rsid w:val="00491CCA"/>
    <w:rsid w:val="004F61BC"/>
    <w:rsid w:val="00514653"/>
    <w:rsid w:val="005A6CA5"/>
    <w:rsid w:val="005E1CF4"/>
    <w:rsid w:val="006320C8"/>
    <w:rsid w:val="00693E1A"/>
    <w:rsid w:val="006A2003"/>
    <w:rsid w:val="00A618A0"/>
    <w:rsid w:val="00AD748C"/>
    <w:rsid w:val="00BC0387"/>
    <w:rsid w:val="00C84D13"/>
    <w:rsid w:val="00D10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BC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s-AR" w:eastAsia="es-A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5BCB"/>
    <w:pPr>
      <w:keepNext/>
      <w:keepLines/>
      <w:spacing w:before="240" w:line="276" w:lineRule="auto"/>
      <w:ind w:left="432" w:hanging="432"/>
    </w:pPr>
    <w:rPr>
      <w:rFonts w:ascii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D5BCB"/>
    <w:pPr>
      <w:keepNext/>
      <w:keepLines/>
      <w:spacing w:before="40" w:line="276" w:lineRule="auto"/>
      <w:ind w:left="576" w:hanging="576"/>
      <w:outlineLvl w:val="1"/>
    </w:pPr>
    <w:rPr>
      <w:rFonts w:ascii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D5BCB"/>
    <w:pPr>
      <w:keepNext/>
      <w:keepLines/>
      <w:spacing w:before="40" w:line="276" w:lineRule="auto"/>
      <w:ind w:left="720" w:hanging="720"/>
      <w:outlineLvl w:val="2"/>
    </w:pPr>
    <w:rPr>
      <w:rFonts w:ascii="Cambria" w:hAnsi="Cambria" w:cs="Cambria"/>
      <w:color w:val="243F61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D5BC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3D5BC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D5B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6BA"/>
    <w:rPr>
      <w:rFonts w:asciiTheme="majorHAnsi" w:eastAsiaTheme="majorEastAsia" w:hAnsiTheme="majorHAnsi" w:cstheme="majorBidi"/>
      <w:b/>
      <w:bCs/>
      <w:kern w:val="32"/>
      <w:position w:val="-1"/>
      <w:sz w:val="32"/>
      <w:szCs w:val="32"/>
      <w:lang w:val="es-AR" w:eastAsia="es-A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6BA"/>
    <w:rPr>
      <w:rFonts w:asciiTheme="majorHAnsi" w:eastAsiaTheme="majorEastAsia" w:hAnsiTheme="majorHAnsi" w:cstheme="majorBidi"/>
      <w:b/>
      <w:bCs/>
      <w:i/>
      <w:iCs/>
      <w:position w:val="-1"/>
      <w:sz w:val="28"/>
      <w:szCs w:val="28"/>
      <w:lang w:val="es-AR" w:eastAsia="es-A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6BA"/>
    <w:rPr>
      <w:rFonts w:asciiTheme="majorHAnsi" w:eastAsiaTheme="majorEastAsia" w:hAnsiTheme="majorHAnsi" w:cstheme="majorBidi"/>
      <w:b/>
      <w:bCs/>
      <w:position w:val="-1"/>
      <w:sz w:val="26"/>
      <w:szCs w:val="26"/>
      <w:lang w:val="es-AR" w:eastAsia="es-A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6BA"/>
    <w:rPr>
      <w:rFonts w:asciiTheme="minorHAnsi" w:eastAsiaTheme="minorEastAsia" w:hAnsiTheme="minorHAnsi" w:cstheme="minorBidi"/>
      <w:b/>
      <w:bCs/>
      <w:position w:val="-1"/>
      <w:sz w:val="28"/>
      <w:szCs w:val="28"/>
      <w:lang w:val="es-AR" w:eastAsia="es-A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6BA"/>
    <w:rPr>
      <w:rFonts w:asciiTheme="minorHAnsi" w:eastAsiaTheme="minorEastAsia" w:hAnsiTheme="minorHAnsi" w:cstheme="minorBidi"/>
      <w:b/>
      <w:bCs/>
      <w:i/>
      <w:iCs/>
      <w:position w:val="-1"/>
      <w:sz w:val="26"/>
      <w:szCs w:val="26"/>
      <w:lang w:val="es-AR" w:eastAsia="es-A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6BA"/>
    <w:rPr>
      <w:rFonts w:asciiTheme="minorHAnsi" w:eastAsiaTheme="minorEastAsia" w:hAnsiTheme="minorHAnsi" w:cstheme="minorBidi"/>
      <w:b/>
      <w:bCs/>
      <w:position w:val="-1"/>
      <w:lang w:val="es-AR" w:eastAsia="es-AR"/>
    </w:rPr>
  </w:style>
  <w:style w:type="table" w:customStyle="1" w:styleId="TableNormal1">
    <w:name w:val="Table Normal1"/>
    <w:uiPriority w:val="99"/>
    <w:rsid w:val="003D5BCB"/>
    <w:rPr>
      <w:sz w:val="24"/>
      <w:szCs w:val="24"/>
      <w:lang w:val="es-AR" w:eastAsia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3D5BC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E06BA"/>
    <w:rPr>
      <w:rFonts w:asciiTheme="majorHAnsi" w:eastAsiaTheme="majorEastAsia" w:hAnsiTheme="majorHAnsi" w:cstheme="majorBidi"/>
      <w:b/>
      <w:bCs/>
      <w:kern w:val="28"/>
      <w:position w:val="-1"/>
      <w:sz w:val="32"/>
      <w:szCs w:val="32"/>
      <w:lang w:val="es-AR" w:eastAsia="es-AR"/>
    </w:rPr>
  </w:style>
  <w:style w:type="paragraph" w:styleId="Header">
    <w:name w:val="header"/>
    <w:basedOn w:val="Normal"/>
    <w:link w:val="HeaderChar"/>
    <w:uiPriority w:val="99"/>
    <w:rsid w:val="003D5BCB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06BA"/>
    <w:rPr>
      <w:position w:val="-1"/>
      <w:sz w:val="24"/>
      <w:szCs w:val="24"/>
      <w:lang w:val="es-AR" w:eastAsia="es-AR"/>
    </w:rPr>
  </w:style>
  <w:style w:type="character" w:customStyle="1" w:styleId="EncabezadoCar">
    <w:name w:val="Encabezado Car"/>
    <w:uiPriority w:val="99"/>
    <w:rsid w:val="003D5BCB"/>
    <w:rPr>
      <w:rFonts w:ascii="Times New Roman" w:eastAsia="Times New Roman" w:hAnsi="Times New Roman"/>
      <w:w w:val="100"/>
      <w:sz w:val="24"/>
      <w:effect w:val="none"/>
      <w:vertAlign w:val="baseline"/>
      <w:em w:val="none"/>
      <w:lang w:eastAsia="es-AR"/>
    </w:rPr>
  </w:style>
  <w:style w:type="character" w:customStyle="1" w:styleId="Ttulo1Car">
    <w:name w:val="Título 1 Car"/>
    <w:uiPriority w:val="99"/>
    <w:rsid w:val="003D5BCB"/>
    <w:rPr>
      <w:rFonts w:ascii="Cambria" w:eastAsia="Times New Roman" w:hAnsi="Cambria"/>
      <w:color w:val="366091"/>
      <w:w w:val="100"/>
      <w:sz w:val="32"/>
      <w:effect w:val="none"/>
      <w:vertAlign w:val="baseline"/>
      <w:em w:val="none"/>
    </w:rPr>
  </w:style>
  <w:style w:type="character" w:customStyle="1" w:styleId="Ttulo2Car">
    <w:name w:val="Título 2 Car"/>
    <w:uiPriority w:val="99"/>
    <w:rsid w:val="003D5BCB"/>
    <w:rPr>
      <w:rFonts w:ascii="Cambria" w:eastAsia="Times New Roman" w:hAnsi="Cambria"/>
      <w:color w:val="366091"/>
      <w:w w:val="100"/>
      <w:sz w:val="26"/>
      <w:effect w:val="none"/>
      <w:vertAlign w:val="baseline"/>
      <w:em w:val="none"/>
    </w:rPr>
  </w:style>
  <w:style w:type="character" w:customStyle="1" w:styleId="Ttulo3Car">
    <w:name w:val="Título 3 Car"/>
    <w:uiPriority w:val="99"/>
    <w:rsid w:val="003D5BCB"/>
    <w:rPr>
      <w:rFonts w:ascii="Cambria" w:eastAsia="Times New Roman" w:hAnsi="Cambria"/>
      <w:color w:val="243F61"/>
      <w:w w:val="100"/>
      <w:sz w:val="24"/>
      <w:effect w:val="none"/>
      <w:vertAlign w:val="baseline"/>
      <w:em w:val="none"/>
    </w:rPr>
  </w:style>
  <w:style w:type="paragraph" w:styleId="ListParagraph">
    <w:name w:val="List Paragraph"/>
    <w:basedOn w:val="Normal"/>
    <w:uiPriority w:val="99"/>
    <w:qFormat/>
    <w:rsid w:val="003D5BC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rsid w:val="003D5BCB"/>
  </w:style>
  <w:style w:type="character" w:styleId="Strong">
    <w:name w:val="Strong"/>
    <w:basedOn w:val="DefaultParagraphFont"/>
    <w:uiPriority w:val="99"/>
    <w:qFormat/>
    <w:rsid w:val="003D5BCB"/>
    <w:rPr>
      <w:rFonts w:cs="Times New Roman"/>
      <w:b/>
      <w:w w:val="100"/>
      <w:effect w:val="none"/>
      <w:vertAlign w:val="baseline"/>
      <w:em w:val="none"/>
    </w:rPr>
  </w:style>
  <w:style w:type="paragraph" w:styleId="Footer">
    <w:name w:val="footer"/>
    <w:basedOn w:val="Normal"/>
    <w:link w:val="FooterChar"/>
    <w:uiPriority w:val="99"/>
    <w:rsid w:val="003D5BC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6BA"/>
    <w:rPr>
      <w:position w:val="-1"/>
      <w:sz w:val="24"/>
      <w:szCs w:val="24"/>
      <w:lang w:val="es-AR" w:eastAsia="es-AR"/>
    </w:rPr>
  </w:style>
  <w:style w:type="character" w:customStyle="1" w:styleId="PiedepginaCar">
    <w:name w:val="Pie de página Car"/>
    <w:uiPriority w:val="99"/>
    <w:rsid w:val="003D5BCB"/>
    <w:rPr>
      <w:rFonts w:ascii="Times New Roman" w:hAnsi="Times New Roman"/>
      <w:w w:val="100"/>
      <w:sz w:val="24"/>
      <w:effect w:val="none"/>
      <w:vertAlign w:val="baseline"/>
      <w:em w:val="none"/>
    </w:rPr>
  </w:style>
  <w:style w:type="paragraph" w:styleId="Subtitle">
    <w:name w:val="Subtitle"/>
    <w:basedOn w:val="Normal"/>
    <w:next w:val="Normal"/>
    <w:link w:val="SubtitleChar"/>
    <w:uiPriority w:val="99"/>
    <w:qFormat/>
    <w:rsid w:val="003D5BCB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BE06BA"/>
    <w:rPr>
      <w:rFonts w:asciiTheme="majorHAnsi" w:eastAsiaTheme="majorEastAsia" w:hAnsiTheme="majorHAnsi" w:cstheme="majorBidi"/>
      <w:position w:val="-1"/>
      <w:sz w:val="24"/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13</Pages>
  <Words>1730</Words>
  <Characters>9517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 INICIACIÓN PROFESIONAL</dc:title>
  <dc:subject/>
  <dc:creator>DARIO OCAMPO</dc:creator>
  <cp:keywords/>
  <dc:description/>
  <cp:lastModifiedBy>BANGHO</cp:lastModifiedBy>
  <cp:revision>2</cp:revision>
  <dcterms:created xsi:type="dcterms:W3CDTF">2019-06-04T20:10:00Z</dcterms:created>
  <dcterms:modified xsi:type="dcterms:W3CDTF">2019-06-04T20:10:00Z</dcterms:modified>
</cp:coreProperties>
</file>